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88 vom 27. Juni 1979</w:t>
      </w:r>
    </w:p>
    <w:p>
      <w:r>
        <w:t>Bundesgericht (BGE), 1979-06-27, DE</w:t>
      </w:r>
    </w:p>
    <w:p>
      <w:r>
        <w:rPr>
          <w:b/>
        </w:rPr>
        <w:t xml:space="preserve">Quelle: </w:t>
      </w:r>
      <w:r>
        <w:t>https://mcp.opencaselaw.ch/entscheid/bge_105 IB 88</w:t>
      </w:r>
    </w:p>
    <w:p>
      <w:r>
        <w:t>FR: BGE 105 IB 88 du 27 juin 1979</w:t>
      </w:r>
    </w:p>
    <w:p>
      <w:r>
        <w:t>IT: BGE 105 IB 88 del 27 giugno 1979</w:t>
      </w:r>
    </w:p>
    <w:p>
      <w:pPr>
        <w:pStyle w:val="Heading2"/>
      </w:pPr>
      <w:r>
        <w:t>Regeste</w:t>
      </w:r>
    </w:p>
    <w:p>
      <w:r>
        <w:t>Regeste Art. 18 EntG; Form der Entschädigung. Inwieweit besteht ein Rechtsanspruch darauf, dass die Enteignungsentschädigung in Form einer Sachleistung entrichtet wird? (Frage offen gelassen). Bedeutung von Art. 8 und 10 EntG (E. 2). Eine Sachleistung fällt auf jeden Fall nur in Betracht, wenn wesentliche Interessen des Enteigneten auf dem Spiele stehen. Der Umstand, dass der Enteigner zur Zeit der Enteignung in der Lage ist, Realersatz zu leisten, ist für sich allein nicht ausschlaggebend (E. 3).</w:t>
      </w:r>
    </w:p>
    <w:p>
      <w:pPr>
        <w:pStyle w:val="Heading2"/>
      </w:pPr>
      <w:r>
        <w:t>Erwägungen</w:t>
      </w:r>
    </w:p>
    <w:p>
      <w:r>
        <w:rPr>
          <w:b/>
        </w:rPr>
        <w:t>E. 1</w:t>
      </w:r>
    </w:p>
    <w:p>
      <w:r>
        <w:t>Bei der Beurteilung von Verwaltungsgerichtsbeschwerden in Enteignungssachen ist das Bundesgericht an die Anträge der Parteien gebunden ( BGE 102 Ib 89 E. 1c). Da es an einer Verwaltungsgerichtsbeschwerde des Enteigners fehlt, kann der Entscheid der Schätzungskommission nicht abgeändert werden, soweit er dem Enteigneten teilweise Realersatz zuspricht. Ebensowenig kann das Bundesgericht, falls es das Begehren um weiteren Realersatz abweist, mangels eines Eventualantrages des Enteigneten den Betrag und die Berechnungsweise der von der Kommission zugesprochenen Geldentschädigung überprüfen.</w:t>
      </w:r>
    </w:p>
    <w:p>
      <w:r>
        <w:rPr>
          <w:b/>
        </w:rPr>
        <w:t>E. 2</w:t>
      </w:r>
    </w:p>
    <w:p>
      <w:r>
        <w:t>Gemäss Art. 17 EntG ist die Entschädigung, wenn Gesetz oder Abrede nichts anderes bestimmen, in Geld zu entrichten. BGE 105 Ib 88 S. 90 Unter den Gesetzesbestimmungen, welche eine Naturalleistung vorsehen, sind zunächst Art. 8 (Ersatz von Kulturland) und 10 EntG (Brunnen und Quellen) zu erwähnen. Diese Bestimmungen betreffen indessen Verpflichtungen, welche dem Enteigner in Anbetracht allgemeiner Interessen auferlegt werden. Ihre Anwendung ist nicht Sache der Schätzungskommission, sondern der Behörde, welche über die Gewährung des Enteignungsrechtes und über die Einsprachen zu befinden hat (vgl. Art. 35, 39 und 55 EntG ; Art. 46 WRG ; auf dem Gebiete des Nationalstrassenbaus: Art. 26/27 NSG; vgl. Sten. Bull. NR 1928 S. 802, Votum Sträuli). Dagegen obliegt der Schätzungskommission gemäss Art. 64 Abs. 1 lit. a EntG die Anwendung des Art. 18 EntG . Nach dieser Bestimmung kann an Stelle der Geldleistung ganz oder teilweise eine Sachleistung treten, so insbesondere, wenn infolge der Enteignung ein landwirtschaftliches Gewerbe nicht mehr fortgeführt werden kann, ferner bei der Enteignung von Wasser und Wasserkraft sowie bei Störung von Wegverbindungen und Leitungen. Obwohl bei der Gesetzesberatung vor dem Nationalrat das Wort "ausnahmsweise" aus dem Text des Art. 18 EntG gestrichen wurde (Art. 15 des bundesrätlichen Entwurfes; vgl. BBl 1926 II 23 f. und 117; Sten. Bull. NR 1928, S. 627, Votum Pilet-Golaz), um eine allzu enge Auslegung der neuen Vorschrift zu vermeiden, soll der Realersatz eine Ausnahme gegenüber dem in Art. 17 EntG festgelegten Grundsatz der Geldentschädigung bilden. Dieser Schluss ergibt sich schon aus der Systematik des Gesetzes und wird durch die Gesetzesmaterialien bestätigt. Schon in seiner Botschaft vom 21. Juni 1926 hatte der Bundesrat - offensichtlich im Bewusstsein, dass die Verwirklichung dieser neuen Bestimmung auf Schwierigkeiten stossen könnte - ausgeführt, die Anwendung des Art. 18 EntG werde sich "... wohl eher und hauptsächlich im Einigungs- als im Schätzungsverfahren denken lassen" (BBl 1926 II 24). In der Botschaft (a.a.O., S. 23) und in der parlamentarischen Beratung (Sten Bull NR 1928, S. 627, Votum Pilet-Golaz) wurde schliesslich hervorgehoben, mit der Einführung dieser neuen Bestimmung werde beabsichtigt, die Kontroverse zwischen Rechtsprechung und Praxis hinsichtlich der Zulässigkeit des Realersatzes zu beenden. Die Schwierigkeiten einer breiten Anwendung dieser Bestimmung liegen im übrigen in der Natur der BGE 105 Ib 88 S. 91 Sache selbst begründet: Um sich die für eine Sachleistung notwendigen Ersatzgüter zu verschaffen, darf der Enteigner das Enteignungsrecht nicht in Anspruch nehmen. Eine Ausnahme bilden lediglich diejenigen Fälle, in welchen dem Enteigner von vorneherein bei der Verleihung des Enteignungsrechts die Verpflichtung auferlegt wurde, zur Wahrung der öffentlichen Interessen Ersatzmassnahmen im Sinne der Art. 7-10 EntG zu treffen (HESS, Das Enteignungsrecht des Bundes, ad Art. 4, N. 9-12; ad Art. 18, N. 2, 5, 12; KUTTLER, Die Bodenverteuerung als Rechtsproblem, ZSR NF 83 (1964) II 191; Sten. Bull. SR 1929, S. 179 (Votum Dietschi); BJM 1963 S. 183 ff. E. 2). In diesen Fällen stützt sich das Enteignungsrecht auf Art. 4 lit. d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